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5871" w14:textId="77777777" w:rsidR="006E01FB" w:rsidRDefault="006E01FB" w:rsidP="00090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090CA5" w:rsidRPr="00090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оглашение</w:t>
      </w:r>
      <w:r w:rsidRPr="006E0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полисе обязательного медицинского </w:t>
      </w:r>
    </w:p>
    <w:p w14:paraId="74E0C0D0" w14:textId="77777777" w:rsidR="00090CA5" w:rsidRPr="006E01FB" w:rsidRDefault="006E01FB" w:rsidP="00090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страхования для иностранных граждан</w:t>
      </w:r>
    </w:p>
    <w:p w14:paraId="6D51DCA0" w14:textId="03C14A9A" w:rsidR="00090CA5" w:rsidRPr="00090CA5" w:rsidRDefault="00090CA5" w:rsidP="00C36176">
      <w:pPr>
        <w:tabs>
          <w:tab w:val="left" w:pos="6521"/>
        </w:tabs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BB71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Бишкек</w:t>
      </w:r>
      <w:r w:rsidR="00F277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0C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</w:t>
      </w:r>
      <w:r w:rsidR="00BB71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09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B7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889EA12" w14:textId="7EB28848" w:rsidR="006733E2" w:rsidRDefault="00B977CA" w:rsidP="006733E2">
      <w:pPr>
        <w:pStyle w:val="ConsNonformat"/>
        <w:tabs>
          <w:tab w:val="left" w:pos="993"/>
          <w:tab w:val="left" w:pos="1276"/>
        </w:tabs>
        <w:jc w:val="both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="00BB715A">
        <w:rPr>
          <w:rFonts w:ascii="Times New Roman" w:hAnsi="Times New Roman"/>
          <w:sz w:val="24"/>
          <w:szCs w:val="24"/>
        </w:rPr>
        <w:t xml:space="preserve">Кыргызско-Российский Славянский университет имени первого Президента Российской Федерации </w:t>
      </w:r>
      <w:proofErr w:type="spellStart"/>
      <w:r w:rsidR="00BB715A">
        <w:rPr>
          <w:rFonts w:ascii="Times New Roman" w:hAnsi="Times New Roman"/>
          <w:sz w:val="24"/>
          <w:szCs w:val="24"/>
        </w:rPr>
        <w:t>Б.Н.Ельцина</w:t>
      </w:r>
      <w:proofErr w:type="spellEnd"/>
      <w:r w:rsidR="00090CA5" w:rsidRPr="00090CA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BB715A">
        <w:rPr>
          <w:rFonts w:ascii="Times New Roman" w:hAnsi="Times New Roman"/>
          <w:sz w:val="24"/>
          <w:szCs w:val="24"/>
        </w:rPr>
        <w:t>КРСУ</w:t>
      </w:r>
      <w:r w:rsidR="00090CA5" w:rsidRPr="00090CA5">
        <w:rPr>
          <w:rFonts w:ascii="Times New Roman" w:hAnsi="Times New Roman"/>
          <w:sz w:val="24"/>
          <w:szCs w:val="24"/>
        </w:rPr>
        <w:t>, в ли</w:t>
      </w:r>
      <w:r w:rsidR="00636813">
        <w:rPr>
          <w:rFonts w:ascii="Times New Roman" w:hAnsi="Times New Roman"/>
          <w:sz w:val="24"/>
          <w:szCs w:val="24"/>
        </w:rPr>
        <w:t xml:space="preserve">це </w:t>
      </w:r>
      <w:r w:rsidR="00BB715A">
        <w:rPr>
          <w:rFonts w:ascii="Times New Roman" w:hAnsi="Times New Roman"/>
          <w:sz w:val="24"/>
          <w:szCs w:val="24"/>
        </w:rPr>
        <w:t xml:space="preserve">ректора </w:t>
      </w:r>
      <w:r w:rsidR="00C62392">
        <w:rPr>
          <w:rFonts w:ascii="Times New Roman" w:hAnsi="Times New Roman"/>
          <w:sz w:val="24"/>
          <w:szCs w:val="24"/>
        </w:rPr>
        <w:t>Волкова Сергея Юрьевича</w:t>
      </w:r>
      <w:r w:rsidR="00090CA5" w:rsidRPr="00090CA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B715A">
        <w:rPr>
          <w:rFonts w:ascii="Times New Roman" w:hAnsi="Times New Roman"/>
          <w:sz w:val="24"/>
          <w:szCs w:val="24"/>
        </w:rPr>
        <w:t>Устава</w:t>
      </w:r>
      <w:r w:rsidR="00090CA5" w:rsidRPr="00090CA5">
        <w:rPr>
          <w:rFonts w:ascii="Times New Roman" w:hAnsi="Times New Roman"/>
          <w:bCs/>
          <w:sz w:val="24"/>
          <w:szCs w:val="24"/>
        </w:rPr>
        <w:t xml:space="preserve">, </w:t>
      </w:r>
      <w:r w:rsidR="00066F06">
        <w:rPr>
          <w:rFonts w:ascii="Times New Roman" w:hAnsi="Times New Roman"/>
          <w:bCs/>
          <w:sz w:val="24"/>
          <w:szCs w:val="24"/>
        </w:rPr>
        <w:t xml:space="preserve">далее именуемое «Исполнитель» </w:t>
      </w:r>
      <w:r w:rsidR="00090CA5" w:rsidRPr="00090CA5">
        <w:rPr>
          <w:rFonts w:ascii="Times New Roman" w:hAnsi="Times New Roman"/>
          <w:bCs/>
          <w:sz w:val="24"/>
          <w:szCs w:val="24"/>
        </w:rPr>
        <w:t xml:space="preserve">с одной стороны, </w:t>
      </w:r>
      <w:r w:rsidR="006733E2">
        <w:rPr>
          <w:rFonts w:ascii="Times New Roman" w:hAnsi="Times New Roman"/>
          <w:bCs/>
          <w:sz w:val="24"/>
          <w:szCs w:val="24"/>
        </w:rPr>
        <w:t xml:space="preserve">и </w:t>
      </w:r>
      <w:r w:rsidR="00066F06">
        <w:rPr>
          <w:rFonts w:ascii="Times New Roman" w:hAnsi="Times New Roman"/>
          <w:bCs/>
          <w:sz w:val="24"/>
          <w:szCs w:val="24"/>
        </w:rPr>
        <w:t>_______________</w:t>
      </w:r>
      <w:r w:rsidR="006733E2" w:rsidRPr="00443C62">
        <w:rPr>
          <w:rFonts w:ascii="Times New Roman" w:hAnsi="Times New Roman"/>
          <w:sz w:val="18"/>
          <w:szCs w:val="24"/>
        </w:rPr>
        <w:t xml:space="preserve">______________________________________________________________________________________, </w:t>
      </w:r>
      <w:r w:rsidR="006733E2">
        <w:rPr>
          <w:rFonts w:ascii="Times New Roman" w:hAnsi="Times New Roman"/>
          <w:bCs/>
          <w:sz w:val="16"/>
          <w:szCs w:val="16"/>
        </w:rPr>
        <w:tab/>
      </w:r>
      <w:r w:rsidR="006733E2">
        <w:rPr>
          <w:rFonts w:ascii="Times New Roman" w:hAnsi="Times New Roman"/>
          <w:bCs/>
          <w:sz w:val="16"/>
          <w:szCs w:val="16"/>
        </w:rPr>
        <w:tab/>
      </w:r>
      <w:r w:rsidR="006733E2">
        <w:rPr>
          <w:rFonts w:ascii="Times New Roman" w:hAnsi="Times New Roman"/>
          <w:bCs/>
          <w:sz w:val="16"/>
          <w:szCs w:val="16"/>
        </w:rPr>
        <w:tab/>
      </w:r>
      <w:r w:rsidR="006733E2">
        <w:rPr>
          <w:rFonts w:ascii="Times New Roman" w:hAnsi="Times New Roman"/>
          <w:bCs/>
          <w:sz w:val="16"/>
          <w:szCs w:val="16"/>
        </w:rPr>
        <w:tab/>
      </w:r>
      <w:r w:rsidR="006733E2">
        <w:rPr>
          <w:rFonts w:ascii="Times New Roman" w:hAnsi="Times New Roman"/>
          <w:bCs/>
          <w:sz w:val="16"/>
          <w:szCs w:val="16"/>
        </w:rPr>
        <w:tab/>
      </w:r>
      <w:r w:rsidR="006733E2" w:rsidRPr="006733E2">
        <w:rPr>
          <w:rFonts w:ascii="Times New Roman" w:hAnsi="Times New Roman"/>
          <w:bCs/>
          <w:i/>
          <w:sz w:val="18"/>
          <w:szCs w:val="18"/>
        </w:rPr>
        <w:t xml:space="preserve">(фамилия, имя, отчество и статус законного представителя </w:t>
      </w:r>
      <w:r w:rsidR="00913808">
        <w:rPr>
          <w:rFonts w:ascii="Times New Roman" w:hAnsi="Times New Roman"/>
          <w:bCs/>
          <w:i/>
          <w:sz w:val="18"/>
          <w:szCs w:val="18"/>
        </w:rPr>
        <w:t>обучающегося</w:t>
      </w:r>
      <w:r w:rsidR="006733E2" w:rsidRPr="006733E2">
        <w:rPr>
          <w:rFonts w:ascii="Times New Roman" w:hAnsi="Times New Roman"/>
          <w:bCs/>
          <w:i/>
          <w:sz w:val="18"/>
          <w:szCs w:val="18"/>
        </w:rPr>
        <w:t>)</w:t>
      </w:r>
    </w:p>
    <w:p w14:paraId="5DE5AFCB" w14:textId="77777777" w:rsidR="00090CA5" w:rsidRDefault="006733E2" w:rsidP="006733E2">
      <w:pPr>
        <w:pStyle w:val="ConsNonformat"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6733E2">
        <w:rPr>
          <w:rFonts w:ascii="Times New Roman" w:hAnsi="Times New Roman"/>
          <w:bCs/>
          <w:sz w:val="24"/>
          <w:szCs w:val="24"/>
        </w:rPr>
        <w:t>далее «Заказчик», и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______________________________________________________________,</w:t>
      </w:r>
      <w:r w:rsidRPr="006733E2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733E2">
        <w:rPr>
          <w:rFonts w:ascii="Times New Roman" w:hAnsi="Times New Roman"/>
          <w:bCs/>
          <w:i/>
          <w:sz w:val="18"/>
          <w:szCs w:val="18"/>
        </w:rPr>
        <w:t xml:space="preserve"> (фамилия, имя, отчество </w:t>
      </w:r>
      <w:r w:rsidR="00913808">
        <w:rPr>
          <w:rFonts w:ascii="Times New Roman" w:hAnsi="Times New Roman"/>
          <w:bCs/>
          <w:i/>
          <w:sz w:val="18"/>
          <w:szCs w:val="18"/>
        </w:rPr>
        <w:t>обучающегося</w:t>
      </w:r>
      <w:r w:rsidRPr="006733E2">
        <w:rPr>
          <w:rFonts w:ascii="Times New Roman" w:hAnsi="Times New Roman"/>
          <w:bCs/>
          <w:i/>
          <w:sz w:val="18"/>
          <w:szCs w:val="18"/>
        </w:rPr>
        <w:t>)</w:t>
      </w:r>
      <w:r w:rsidRPr="006733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 w:rsidRPr="006733E2">
        <w:rPr>
          <w:rFonts w:ascii="Times New Roman" w:hAnsi="Times New Roman"/>
          <w:bCs/>
          <w:sz w:val="24"/>
          <w:szCs w:val="24"/>
        </w:rPr>
        <w:t>далее «Обучающийся»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 w:rsidRPr="006733E2">
        <w:rPr>
          <w:rFonts w:ascii="Times New Roman" w:hAnsi="Times New Roman"/>
          <w:bCs/>
          <w:sz w:val="24"/>
          <w:szCs w:val="24"/>
        </w:rPr>
        <w:t xml:space="preserve"> другой стороны, вместе и по отдельности именуемые «Стороны»,</w:t>
      </w:r>
      <w:r w:rsidR="00913808">
        <w:rPr>
          <w:rFonts w:ascii="Times New Roman" w:hAnsi="Times New Roman"/>
          <w:bCs/>
          <w:sz w:val="24"/>
          <w:szCs w:val="24"/>
        </w:rPr>
        <w:t xml:space="preserve"> </w:t>
      </w:r>
      <w:r w:rsidR="00090CA5" w:rsidRPr="00090CA5"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4F95F74E" w14:textId="77777777" w:rsidR="00913808" w:rsidRPr="006733E2" w:rsidRDefault="00913808" w:rsidP="006733E2">
      <w:pPr>
        <w:pStyle w:val="ConsNonformat"/>
        <w:tabs>
          <w:tab w:val="left" w:pos="993"/>
          <w:tab w:val="left" w:pos="1276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73D4F24" w14:textId="77777777" w:rsidR="00066F06" w:rsidRDefault="00A849B2" w:rsidP="0091380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D045FA" w:rsidRPr="00A849B2">
        <w:rPr>
          <w:rFonts w:ascii="Times New Roman" w:hAnsi="Times New Roman"/>
          <w:sz w:val="24"/>
          <w:szCs w:val="24"/>
          <w:lang w:eastAsia="ru-RU"/>
        </w:rPr>
        <w:t xml:space="preserve">В связи с </w:t>
      </w:r>
      <w:r w:rsidR="00BE692D" w:rsidRPr="00A849B2">
        <w:rPr>
          <w:rFonts w:ascii="Times New Roman" w:hAnsi="Times New Roman"/>
          <w:sz w:val="24"/>
          <w:szCs w:val="24"/>
          <w:lang w:eastAsia="ru-RU"/>
        </w:rPr>
        <w:t xml:space="preserve">введением обязательного медицинского страхования </w:t>
      </w:r>
      <w:r w:rsidR="00BE692D" w:rsidRPr="00A8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иностранных лиц, обучающихся в образовательных организациях Кыргызской Республики </w:t>
      </w:r>
      <w:r w:rsidR="00D045FA" w:rsidRPr="00A849B2">
        <w:rPr>
          <w:rFonts w:ascii="Times New Roman" w:hAnsi="Times New Roman"/>
          <w:sz w:val="24"/>
          <w:szCs w:val="24"/>
        </w:rPr>
        <w:t xml:space="preserve">и в соответствии с </w:t>
      </w:r>
      <w:r>
        <w:rPr>
          <w:rFonts w:ascii="Times New Roman" w:hAnsi="Times New Roman"/>
          <w:sz w:val="24"/>
          <w:szCs w:val="24"/>
        </w:rPr>
        <w:t xml:space="preserve">положениями Закона Кыргызской Республики </w:t>
      </w:r>
      <w:r w:rsidRPr="00A849B2">
        <w:rPr>
          <w:rFonts w:ascii="Times New Roman" w:hAnsi="Times New Roman"/>
          <w:sz w:val="24"/>
          <w:szCs w:val="24"/>
        </w:rPr>
        <w:t>«О медицинском страховании граждан в Кыргызской Республике»</w:t>
      </w:r>
      <w:r w:rsidR="00D045FA" w:rsidRPr="00A849B2">
        <w:rPr>
          <w:rFonts w:ascii="Times New Roman" w:hAnsi="Times New Roman"/>
          <w:sz w:val="24"/>
          <w:szCs w:val="24"/>
        </w:rPr>
        <w:t xml:space="preserve">, Стороны пришли к соглашению </w:t>
      </w:r>
      <w:r w:rsidR="00913808">
        <w:rPr>
          <w:rFonts w:ascii="Times New Roman" w:hAnsi="Times New Roman"/>
          <w:sz w:val="24"/>
          <w:szCs w:val="24"/>
        </w:rPr>
        <w:t xml:space="preserve">об обязательстве </w:t>
      </w:r>
      <w:r w:rsidR="00066F06">
        <w:rPr>
          <w:rFonts w:ascii="Times New Roman" w:hAnsi="Times New Roman"/>
          <w:sz w:val="24"/>
          <w:szCs w:val="24"/>
        </w:rPr>
        <w:t xml:space="preserve">обучающихся граждан </w:t>
      </w:r>
      <w:r w:rsidR="00913808">
        <w:rPr>
          <w:rFonts w:ascii="Times New Roman" w:hAnsi="Times New Roman"/>
          <w:sz w:val="24"/>
          <w:szCs w:val="24"/>
        </w:rPr>
        <w:t xml:space="preserve">иностранных </w:t>
      </w:r>
      <w:r w:rsidR="00066F06">
        <w:rPr>
          <w:rFonts w:ascii="Times New Roman" w:hAnsi="Times New Roman"/>
          <w:sz w:val="24"/>
          <w:szCs w:val="24"/>
        </w:rPr>
        <w:t>государств</w:t>
      </w:r>
      <w:r w:rsidR="00913808">
        <w:rPr>
          <w:rFonts w:ascii="Times New Roman" w:hAnsi="Times New Roman"/>
          <w:sz w:val="24"/>
          <w:szCs w:val="24"/>
        </w:rPr>
        <w:t xml:space="preserve"> </w:t>
      </w:r>
      <w:r w:rsidR="007139EF">
        <w:rPr>
          <w:rFonts w:ascii="Times New Roman" w:hAnsi="Times New Roman"/>
          <w:sz w:val="24"/>
          <w:szCs w:val="24"/>
        </w:rPr>
        <w:t xml:space="preserve">ежегодно </w:t>
      </w:r>
      <w:r w:rsidR="006E01FB">
        <w:rPr>
          <w:rFonts w:ascii="Times New Roman" w:hAnsi="Times New Roman"/>
          <w:sz w:val="24"/>
          <w:szCs w:val="24"/>
        </w:rPr>
        <w:t xml:space="preserve">самостоятельно </w:t>
      </w:r>
      <w:r w:rsidR="00913808">
        <w:rPr>
          <w:rFonts w:ascii="Times New Roman" w:hAnsi="Times New Roman"/>
          <w:sz w:val="24"/>
          <w:szCs w:val="24"/>
        </w:rPr>
        <w:t>приобретать Полис обязательного медицинского страхования</w:t>
      </w:r>
      <w:r w:rsidR="007139EF">
        <w:rPr>
          <w:rFonts w:ascii="Times New Roman" w:hAnsi="Times New Roman"/>
          <w:sz w:val="24"/>
          <w:szCs w:val="24"/>
        </w:rPr>
        <w:t xml:space="preserve"> </w:t>
      </w:r>
      <w:r w:rsidR="00066F06">
        <w:rPr>
          <w:rFonts w:ascii="Times New Roman" w:hAnsi="Times New Roman"/>
          <w:sz w:val="24"/>
          <w:szCs w:val="24"/>
        </w:rPr>
        <w:t>стоимостью</w:t>
      </w:r>
      <w:r w:rsidR="00913808" w:rsidRPr="00913808">
        <w:rPr>
          <w:rFonts w:ascii="Times New Roman" w:hAnsi="Times New Roman"/>
          <w:sz w:val="24"/>
          <w:szCs w:val="24"/>
        </w:rPr>
        <w:t xml:space="preserve"> 16391 (шестнадцать тысяч триста девяносто один) сом на 12 месяцев</w:t>
      </w:r>
      <w:r w:rsidR="00066F06">
        <w:rPr>
          <w:rFonts w:ascii="Times New Roman" w:hAnsi="Times New Roman"/>
          <w:sz w:val="24"/>
          <w:szCs w:val="24"/>
        </w:rPr>
        <w:t xml:space="preserve"> для иностранных граждан</w:t>
      </w:r>
      <w:r w:rsidR="00913808" w:rsidRPr="00913808">
        <w:rPr>
          <w:rFonts w:ascii="Times New Roman" w:hAnsi="Times New Roman"/>
          <w:sz w:val="24"/>
          <w:szCs w:val="24"/>
        </w:rPr>
        <w:t>,</w:t>
      </w:r>
      <w:r w:rsidR="00066F06">
        <w:rPr>
          <w:rFonts w:ascii="Times New Roman" w:hAnsi="Times New Roman"/>
          <w:sz w:val="24"/>
          <w:szCs w:val="24"/>
        </w:rPr>
        <w:t xml:space="preserve"> стоимостью 1722 (одна тысяча семьсот двадцать два) сом на 12 месяцев для граждан государств-членов Евразийского экономического союза (Армения, Беларусь, Казахстан, Российская Федерация), </w:t>
      </w:r>
      <w:r w:rsidR="00913808" w:rsidRPr="00913808">
        <w:rPr>
          <w:rFonts w:ascii="Times New Roman" w:hAnsi="Times New Roman"/>
          <w:sz w:val="24"/>
          <w:szCs w:val="24"/>
        </w:rPr>
        <w:t xml:space="preserve">установленную Приказом Министерства здравоохранения Кыргызской Республики от 22 февраля 2023 года № 177. В случае изменения стоимости Полиса обязательного медицинского страхования </w:t>
      </w:r>
      <w:r w:rsidR="00066F06">
        <w:rPr>
          <w:rFonts w:ascii="Times New Roman" w:hAnsi="Times New Roman"/>
          <w:sz w:val="24"/>
          <w:szCs w:val="24"/>
        </w:rPr>
        <w:t xml:space="preserve">Обучающийся </w:t>
      </w:r>
      <w:r w:rsidR="00913808" w:rsidRPr="00913808">
        <w:rPr>
          <w:rFonts w:ascii="Times New Roman" w:hAnsi="Times New Roman"/>
          <w:sz w:val="24"/>
          <w:szCs w:val="24"/>
        </w:rPr>
        <w:t xml:space="preserve">обязан оплатить стоимость Полиса обязательного медицинского страхования, установленную Министерством здравоохранения Кыргызской Республики. </w:t>
      </w:r>
    </w:p>
    <w:p w14:paraId="1611EFD2" w14:textId="77777777" w:rsidR="001B77B5" w:rsidRDefault="007139EF" w:rsidP="00E926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9263B">
        <w:rPr>
          <w:rFonts w:ascii="Times New Roman" w:hAnsi="Times New Roman"/>
          <w:sz w:val="24"/>
          <w:szCs w:val="24"/>
        </w:rPr>
        <w:t>. Н</w:t>
      </w:r>
      <w:r w:rsidR="001B77B5" w:rsidRPr="001B77B5">
        <w:rPr>
          <w:rFonts w:ascii="Times New Roman" w:hAnsi="Times New Roman"/>
          <w:sz w:val="24"/>
          <w:szCs w:val="24"/>
          <w:lang w:eastAsia="ru-RU"/>
        </w:rPr>
        <w:t>астоящее</w:t>
      </w:r>
      <w:r w:rsidR="001B77B5" w:rsidRPr="001B77B5">
        <w:rPr>
          <w:rFonts w:ascii="Times New Roman" w:hAnsi="Times New Roman"/>
          <w:sz w:val="24"/>
          <w:szCs w:val="24"/>
        </w:rPr>
        <w:t xml:space="preserve"> соглашение вступает в силу с даты подписания его Сторонами. </w:t>
      </w:r>
    </w:p>
    <w:p w14:paraId="492A19AA" w14:textId="34C9E8E7" w:rsidR="001B77B5" w:rsidRDefault="006E01FB" w:rsidP="006555F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555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Настоящее </w:t>
      </w:r>
      <w:r w:rsidR="001B77B5" w:rsidRPr="001B77B5">
        <w:rPr>
          <w:rFonts w:ascii="Times New Roman" w:hAnsi="Times New Roman"/>
          <w:sz w:val="24"/>
          <w:szCs w:val="24"/>
        </w:rPr>
        <w:t xml:space="preserve">соглашение составлено в </w:t>
      </w:r>
      <w:r w:rsidR="007C25DC">
        <w:rPr>
          <w:rFonts w:ascii="Times New Roman" w:hAnsi="Times New Roman"/>
          <w:sz w:val="24"/>
          <w:szCs w:val="24"/>
        </w:rPr>
        <w:t>3</w:t>
      </w:r>
      <w:r w:rsidR="00DA6FF1">
        <w:rPr>
          <w:rFonts w:ascii="Times New Roman" w:hAnsi="Times New Roman"/>
          <w:sz w:val="24"/>
          <w:szCs w:val="24"/>
        </w:rPr>
        <w:t xml:space="preserve"> (</w:t>
      </w:r>
      <w:r w:rsidR="007C25DC">
        <w:rPr>
          <w:rFonts w:ascii="Times New Roman" w:hAnsi="Times New Roman"/>
          <w:sz w:val="24"/>
          <w:szCs w:val="24"/>
        </w:rPr>
        <w:t>трёх</w:t>
      </w:r>
      <w:r w:rsidR="00DA6FF1">
        <w:rPr>
          <w:rFonts w:ascii="Times New Roman" w:hAnsi="Times New Roman"/>
          <w:sz w:val="24"/>
          <w:szCs w:val="24"/>
        </w:rPr>
        <w:t>)</w:t>
      </w:r>
      <w:r w:rsidR="001B77B5" w:rsidRPr="001B77B5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 по </w:t>
      </w:r>
      <w:r w:rsidR="00DA6FF1">
        <w:rPr>
          <w:rFonts w:ascii="Times New Roman" w:hAnsi="Times New Roman"/>
          <w:sz w:val="24"/>
          <w:szCs w:val="24"/>
        </w:rPr>
        <w:t>1 (</w:t>
      </w:r>
      <w:r w:rsidR="001B77B5" w:rsidRPr="001B77B5">
        <w:rPr>
          <w:rFonts w:ascii="Times New Roman" w:hAnsi="Times New Roman"/>
          <w:sz w:val="24"/>
          <w:szCs w:val="24"/>
        </w:rPr>
        <w:t>одному</w:t>
      </w:r>
      <w:r w:rsidR="00DA6FF1">
        <w:rPr>
          <w:rFonts w:ascii="Times New Roman" w:hAnsi="Times New Roman"/>
          <w:sz w:val="24"/>
          <w:szCs w:val="24"/>
        </w:rPr>
        <w:t>)</w:t>
      </w:r>
      <w:r w:rsidR="001B77B5" w:rsidRPr="001B77B5">
        <w:rPr>
          <w:rFonts w:ascii="Times New Roman" w:hAnsi="Times New Roman"/>
          <w:sz w:val="24"/>
          <w:szCs w:val="24"/>
        </w:rPr>
        <w:t xml:space="preserve"> экземпляру для каждой </w:t>
      </w:r>
      <w:r w:rsidR="007C25DC">
        <w:rPr>
          <w:rFonts w:ascii="Times New Roman" w:hAnsi="Times New Roman"/>
          <w:sz w:val="24"/>
          <w:szCs w:val="24"/>
        </w:rPr>
        <w:t xml:space="preserve">из </w:t>
      </w:r>
      <w:r w:rsidR="001B77B5" w:rsidRPr="001B77B5">
        <w:rPr>
          <w:rFonts w:ascii="Times New Roman" w:hAnsi="Times New Roman"/>
          <w:sz w:val="24"/>
          <w:szCs w:val="24"/>
        </w:rPr>
        <w:t>Сторон.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184"/>
        <w:gridCol w:w="3184"/>
      </w:tblGrid>
      <w:tr w:rsidR="007139EF" w14:paraId="64F493DE" w14:textId="77777777" w:rsidTr="007139EF">
        <w:tc>
          <w:tcPr>
            <w:tcW w:w="3269" w:type="dxa"/>
          </w:tcPr>
          <w:p w14:paraId="6F276872" w14:textId="77777777" w:rsidR="007139EF" w:rsidRPr="007139EF" w:rsidRDefault="007139EF" w:rsidP="007139E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55DEC783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E98CE38" w14:textId="4E29F77D" w:rsidR="007139EF" w:rsidRPr="007139EF" w:rsidRDefault="007139EF" w:rsidP="00713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9E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184" w:type="dxa"/>
          </w:tcPr>
          <w:p w14:paraId="272C2E2F" w14:textId="77777777" w:rsidR="007139EF" w:rsidRPr="007139EF" w:rsidRDefault="007139EF" w:rsidP="00713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9EF">
              <w:rPr>
                <w:rFonts w:ascii="Times New Roman" w:hAnsi="Times New Roman"/>
                <w:b/>
                <w:sz w:val="24"/>
                <w:szCs w:val="24"/>
              </w:rPr>
              <w:t>Обучающийся:</w:t>
            </w:r>
          </w:p>
        </w:tc>
      </w:tr>
      <w:tr w:rsidR="007139EF" w14:paraId="1889E5CD" w14:textId="77777777" w:rsidTr="007139EF">
        <w:tc>
          <w:tcPr>
            <w:tcW w:w="3269" w:type="dxa"/>
          </w:tcPr>
          <w:p w14:paraId="15D9A0D7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FC0EE0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6ABA2" w14:textId="560BCCF4" w:rsidR="00B91E76" w:rsidRDefault="007139EF" w:rsidP="00B91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="00C6239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2392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2392">
              <w:rPr>
                <w:rFonts w:ascii="Times New Roman" w:hAnsi="Times New Roman"/>
                <w:sz w:val="24"/>
                <w:szCs w:val="24"/>
              </w:rPr>
              <w:t>Волков</w:t>
            </w:r>
            <w:proofErr w:type="spellEnd"/>
          </w:p>
          <w:p w14:paraId="498BD90D" w14:textId="46BCE908" w:rsidR="00B977CA" w:rsidRDefault="003F283A" w:rsidP="00B977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91E76">
              <w:rPr>
                <w:rFonts w:ascii="Times New Roman" w:hAnsi="Times New Roman"/>
                <w:sz w:val="24"/>
                <w:szCs w:val="24"/>
              </w:rPr>
              <w:t>ектор</w:t>
            </w:r>
          </w:p>
          <w:p w14:paraId="1512A66F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787BA95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0D99D3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D34099" w14:textId="046542C0" w:rsidR="007139EF" w:rsidRDefault="00B91E76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</w:t>
            </w:r>
            <w:r w:rsidR="007139EF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7C61D451" w14:textId="785E53EE" w:rsidR="007139EF" w:rsidRPr="007139EF" w:rsidRDefault="007139EF" w:rsidP="006555FB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</w:t>
            </w:r>
            <w:r w:rsidRPr="007139EF">
              <w:rPr>
                <w:rFonts w:ascii="Times New Roman" w:hAnsi="Times New Roman"/>
                <w:i/>
                <w:sz w:val="16"/>
                <w:szCs w:val="16"/>
              </w:rPr>
              <w:t>Ф.И.О</w:t>
            </w:r>
          </w:p>
        </w:tc>
        <w:tc>
          <w:tcPr>
            <w:tcW w:w="3184" w:type="dxa"/>
          </w:tcPr>
          <w:p w14:paraId="501B241B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5033D" w14:textId="77777777" w:rsidR="007139EF" w:rsidRDefault="007139EF" w:rsidP="006555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A166C" w14:textId="4FE3620B" w:rsidR="007139EF" w:rsidRDefault="0017159B" w:rsidP="007139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91E76">
              <w:rPr>
                <w:rFonts w:ascii="Times New Roman" w:hAnsi="Times New Roman"/>
                <w:sz w:val="24"/>
                <w:szCs w:val="24"/>
              </w:rPr>
              <w:t>____</w:t>
            </w:r>
            <w:r w:rsidR="007139EF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385B1037" w14:textId="5BFB8A88" w:rsidR="007139EF" w:rsidRDefault="007139EF" w:rsidP="007139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7139EF">
              <w:rPr>
                <w:rFonts w:ascii="Times New Roman" w:hAnsi="Times New Roman"/>
                <w:i/>
                <w:sz w:val="16"/>
                <w:szCs w:val="16"/>
              </w:rPr>
              <w:t>Ф.И.О</w:t>
            </w:r>
          </w:p>
        </w:tc>
      </w:tr>
    </w:tbl>
    <w:p w14:paraId="58826FB5" w14:textId="77777777" w:rsidR="007139EF" w:rsidRDefault="007139EF" w:rsidP="00B91E76"/>
    <w:sectPr w:rsidR="007139EF" w:rsidSect="00895EEB">
      <w:headerReference w:type="default" r:id="rId8"/>
      <w:foot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EC4A" w14:textId="77777777" w:rsidR="00777F33" w:rsidRDefault="00777F33" w:rsidP="001B77B5">
      <w:pPr>
        <w:spacing w:after="0" w:line="240" w:lineRule="auto"/>
      </w:pPr>
      <w:r>
        <w:separator/>
      </w:r>
    </w:p>
  </w:endnote>
  <w:endnote w:type="continuationSeparator" w:id="0">
    <w:p w14:paraId="3297BC2A" w14:textId="77777777" w:rsidR="00777F33" w:rsidRDefault="00777F33" w:rsidP="001B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2189" w14:textId="77777777" w:rsidR="007139EF" w:rsidRPr="006D133B" w:rsidRDefault="007139EF">
    <w:pPr>
      <w:pStyle w:val="af"/>
      <w:jc w:val="right"/>
    </w:pPr>
  </w:p>
  <w:p w14:paraId="16A6746A" w14:textId="77777777" w:rsidR="007139EF" w:rsidRDefault="007139E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F868" w14:textId="77777777" w:rsidR="00777F33" w:rsidRDefault="00777F33" w:rsidP="001B77B5">
      <w:pPr>
        <w:spacing w:after="0" w:line="240" w:lineRule="auto"/>
      </w:pPr>
      <w:r>
        <w:separator/>
      </w:r>
    </w:p>
  </w:footnote>
  <w:footnote w:type="continuationSeparator" w:id="0">
    <w:p w14:paraId="6309CD67" w14:textId="77777777" w:rsidR="00777F33" w:rsidRDefault="00777F33" w:rsidP="001B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2EF" w14:textId="77777777" w:rsidR="007139EF" w:rsidRDefault="007139EF" w:rsidP="005D629D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09DC"/>
    <w:multiLevelType w:val="hybridMultilevel"/>
    <w:tmpl w:val="EE666EF2"/>
    <w:lvl w:ilvl="0" w:tplc="B07E7956">
      <w:start w:val="8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4A671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3D36DB"/>
    <w:multiLevelType w:val="hybridMultilevel"/>
    <w:tmpl w:val="7244099C"/>
    <w:lvl w:ilvl="0" w:tplc="1E18F9C4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A5"/>
    <w:rsid w:val="00066F06"/>
    <w:rsid w:val="00090CA5"/>
    <w:rsid w:val="0017159B"/>
    <w:rsid w:val="00172DAB"/>
    <w:rsid w:val="001900C9"/>
    <w:rsid w:val="001B77B5"/>
    <w:rsid w:val="00215B9A"/>
    <w:rsid w:val="002D3571"/>
    <w:rsid w:val="002E0ED9"/>
    <w:rsid w:val="002F41A8"/>
    <w:rsid w:val="003753AD"/>
    <w:rsid w:val="00396E15"/>
    <w:rsid w:val="003E063C"/>
    <w:rsid w:val="003F283A"/>
    <w:rsid w:val="00414F46"/>
    <w:rsid w:val="00424983"/>
    <w:rsid w:val="0052178E"/>
    <w:rsid w:val="005B53A7"/>
    <w:rsid w:val="00602FBD"/>
    <w:rsid w:val="00604841"/>
    <w:rsid w:val="006048BC"/>
    <w:rsid w:val="00636813"/>
    <w:rsid w:val="006555FB"/>
    <w:rsid w:val="006733E2"/>
    <w:rsid w:val="006B4EE9"/>
    <w:rsid w:val="006E01FB"/>
    <w:rsid w:val="007139EF"/>
    <w:rsid w:val="0073390B"/>
    <w:rsid w:val="00777F33"/>
    <w:rsid w:val="007C25DC"/>
    <w:rsid w:val="007D14A1"/>
    <w:rsid w:val="007D35B9"/>
    <w:rsid w:val="00895EEB"/>
    <w:rsid w:val="00913808"/>
    <w:rsid w:val="0091793A"/>
    <w:rsid w:val="00917A97"/>
    <w:rsid w:val="009516E9"/>
    <w:rsid w:val="00A22059"/>
    <w:rsid w:val="00A24F7D"/>
    <w:rsid w:val="00A46BF8"/>
    <w:rsid w:val="00A849B2"/>
    <w:rsid w:val="00A959DE"/>
    <w:rsid w:val="00A96832"/>
    <w:rsid w:val="00AB1798"/>
    <w:rsid w:val="00AB3101"/>
    <w:rsid w:val="00AC0675"/>
    <w:rsid w:val="00B050E1"/>
    <w:rsid w:val="00B46FDF"/>
    <w:rsid w:val="00B91E76"/>
    <w:rsid w:val="00B977CA"/>
    <w:rsid w:val="00BA7DBA"/>
    <w:rsid w:val="00BB715A"/>
    <w:rsid w:val="00BE692D"/>
    <w:rsid w:val="00C173F8"/>
    <w:rsid w:val="00C34C9E"/>
    <w:rsid w:val="00C36176"/>
    <w:rsid w:val="00C62392"/>
    <w:rsid w:val="00C839E8"/>
    <w:rsid w:val="00CC12C6"/>
    <w:rsid w:val="00D045FA"/>
    <w:rsid w:val="00D14475"/>
    <w:rsid w:val="00D20940"/>
    <w:rsid w:val="00DA6FF1"/>
    <w:rsid w:val="00DD0B21"/>
    <w:rsid w:val="00E05588"/>
    <w:rsid w:val="00E9263B"/>
    <w:rsid w:val="00E94EBC"/>
    <w:rsid w:val="00F277B5"/>
    <w:rsid w:val="00F50F64"/>
    <w:rsid w:val="00F729E2"/>
    <w:rsid w:val="00FD008F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2082"/>
  <w15:docId w15:val="{1F0828E3-C0E5-476A-969F-1790BDD6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A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90CA5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1B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B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B77B5"/>
    <w:rPr>
      <w:vertAlign w:val="superscript"/>
    </w:rPr>
  </w:style>
  <w:style w:type="paragraph" w:customStyle="1" w:styleId="1">
    <w:name w:val="Абзац списка1"/>
    <w:basedOn w:val="a"/>
    <w:rsid w:val="001B77B5"/>
    <w:pPr>
      <w:ind w:left="720"/>
    </w:pPr>
    <w:rPr>
      <w:rFonts w:ascii="Calibri" w:eastAsia="Times New Roman" w:hAnsi="Calibri" w:cs="Times New Roman"/>
    </w:rPr>
  </w:style>
  <w:style w:type="paragraph" w:styleId="a9">
    <w:name w:val="endnote text"/>
    <w:basedOn w:val="a"/>
    <w:link w:val="aa"/>
    <w:uiPriority w:val="99"/>
    <w:semiHidden/>
    <w:unhideWhenUsed/>
    <w:rsid w:val="00DD0B2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0B2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0B21"/>
    <w:rPr>
      <w:vertAlign w:val="superscript"/>
    </w:rPr>
  </w:style>
  <w:style w:type="paragraph" w:styleId="ac">
    <w:name w:val="List Paragraph"/>
    <w:basedOn w:val="a"/>
    <w:uiPriority w:val="34"/>
    <w:qFormat/>
    <w:rsid w:val="00BE692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516E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516E9"/>
    <w:rPr>
      <w:color w:val="605E5C"/>
      <w:shd w:val="clear" w:color="auto" w:fill="E1DFDD"/>
    </w:rPr>
  </w:style>
  <w:style w:type="paragraph" w:customStyle="1" w:styleId="ConsNonformat">
    <w:name w:val="ConsNonformat"/>
    <w:rsid w:val="006733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7139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13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713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139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71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F8B2-995E-4C8D-BAC7-3284161F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Хрунёв Денис Олегович</cp:lastModifiedBy>
  <cp:revision>9</cp:revision>
  <cp:lastPrinted>2023-07-19T04:23:00Z</cp:lastPrinted>
  <dcterms:created xsi:type="dcterms:W3CDTF">2023-08-07T08:54:00Z</dcterms:created>
  <dcterms:modified xsi:type="dcterms:W3CDTF">2025-08-11T03:50:00Z</dcterms:modified>
</cp:coreProperties>
</file>